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B705"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hint="eastAsia" w:eastAsia="楷体"/>
          <w:kern w:val="0"/>
          <w:sz w:val="28"/>
          <w:szCs w:val="28"/>
        </w:rPr>
        <w:t>附件4</w:t>
      </w:r>
    </w:p>
    <w:p w14:paraId="303FCA8D">
      <w:pPr>
        <w:spacing w:line="360" w:lineRule="auto"/>
        <w:jc w:val="center"/>
        <w:rPr>
          <w:rFonts w:ascii="楷体" w:hAnsi="楷体" w:eastAsia="楷体"/>
          <w:b/>
          <w:color w:val="000000"/>
          <w:sz w:val="40"/>
          <w:szCs w:val="36"/>
        </w:rPr>
      </w:pPr>
      <w:r>
        <w:rPr>
          <w:rFonts w:hint="eastAsia" w:ascii="楷体" w:hAnsi="楷体" w:eastAsia="楷体"/>
          <w:b/>
          <w:color w:val="000000"/>
          <w:sz w:val="40"/>
          <w:szCs w:val="36"/>
        </w:rPr>
        <w:t>山东省钢结构行业协会</w:t>
      </w:r>
    </w:p>
    <w:p w14:paraId="28146852">
      <w:pPr>
        <w:spacing w:line="360" w:lineRule="auto"/>
        <w:jc w:val="center"/>
        <w:rPr>
          <w:rFonts w:ascii="楷体" w:hAnsi="楷体" w:eastAsia="楷体"/>
          <w:b/>
          <w:color w:val="000000"/>
          <w:sz w:val="40"/>
          <w:szCs w:val="36"/>
        </w:rPr>
      </w:pPr>
      <w:r>
        <w:rPr>
          <w:rFonts w:hint="eastAsia" w:ascii="楷体" w:hAnsi="楷体" w:eastAsia="楷体"/>
          <w:b/>
          <w:color w:val="000000"/>
          <w:sz w:val="40"/>
          <w:szCs w:val="36"/>
        </w:rPr>
        <w:t>钢结构</w:t>
      </w:r>
      <w:r>
        <w:rPr>
          <w:rFonts w:hint="eastAsia" w:ascii="楷体" w:hAnsi="楷体" w:eastAsia="楷体"/>
          <w:b/>
          <w:color w:val="000000"/>
          <w:sz w:val="40"/>
          <w:szCs w:val="36"/>
          <w:lang w:eastAsia="zh-CN"/>
        </w:rPr>
        <w:t>金质</w:t>
      </w:r>
      <w:r>
        <w:rPr>
          <w:rFonts w:hint="eastAsia" w:ascii="楷体" w:hAnsi="楷体" w:eastAsia="楷体"/>
          <w:b/>
          <w:color w:val="000000"/>
          <w:sz w:val="40"/>
          <w:szCs w:val="36"/>
        </w:rPr>
        <w:t>工程现场考评程序及核查要点</w:t>
      </w:r>
    </w:p>
    <w:p w14:paraId="3D8DB924">
      <w:pPr>
        <w:spacing w:line="260" w:lineRule="exact"/>
        <w:ind w:firstLine="200" w:firstLineChars="200"/>
        <w:rPr>
          <w:rFonts w:ascii="楷体_GB2312" w:eastAsia="楷体_GB2312"/>
          <w:color w:val="000000"/>
          <w:sz w:val="10"/>
          <w:szCs w:val="10"/>
        </w:rPr>
      </w:pPr>
    </w:p>
    <w:p w14:paraId="507B8AC5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该程序由现场考评专家组组长主持</w:t>
      </w:r>
    </w:p>
    <w:p w14:paraId="4AD2E266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一、签到</w:t>
      </w:r>
    </w:p>
    <w:p w14:paraId="7B93B491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二、组长宣布考评开始</w:t>
      </w:r>
    </w:p>
    <w:p w14:paraId="5F8F575E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eastAsia="楷体_GB2312"/>
          <w:b/>
          <w:bCs/>
          <w:color w:val="000000"/>
          <w:sz w:val="28"/>
          <w:szCs w:val="28"/>
        </w:rPr>
        <w:t>三、各单位进行汇报</w:t>
      </w:r>
    </w:p>
    <w:p w14:paraId="7E9CD86A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由主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申请</w:t>
      </w:r>
      <w:r>
        <w:rPr>
          <w:rFonts w:eastAsia="楷体_GB2312"/>
          <w:color w:val="000000"/>
          <w:sz w:val="28"/>
          <w:szCs w:val="28"/>
        </w:rPr>
        <w:t>单位组织相关单位人员参加，并按施工单位、监理单位、设计单位、建设单位等顺序依次进行书面汇报：</w:t>
      </w:r>
    </w:p>
    <w:p w14:paraId="37984169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（有条件的项目，现场考评时可准备有不少于10分钟的视频汇报资料，以方便考评专家很快的熟悉项目情况）</w:t>
      </w:r>
    </w:p>
    <w:p w14:paraId="04638664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（一）施工单位（主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申请</w:t>
      </w:r>
      <w:r>
        <w:rPr>
          <w:rFonts w:eastAsia="楷体_GB2312"/>
          <w:color w:val="000000"/>
          <w:sz w:val="28"/>
          <w:szCs w:val="28"/>
        </w:rPr>
        <w:t>单位）</w:t>
      </w:r>
    </w:p>
    <w:p w14:paraId="70362190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汇报“项目钢结构工程建造总结”；</w:t>
      </w:r>
    </w:p>
    <w:p w14:paraId="7C0DC27B">
      <w:pPr>
        <w:ind w:firstLine="57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其它需要汇报的情况。</w:t>
      </w:r>
    </w:p>
    <w:p w14:paraId="060BFA73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（二）监理单位</w:t>
      </w:r>
      <w:bookmarkStart w:id="0" w:name="_GoBack"/>
      <w:bookmarkEnd w:id="0"/>
    </w:p>
    <w:p w14:paraId="5A7E9373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工程监理目标；</w:t>
      </w:r>
    </w:p>
    <w:p w14:paraId="7E63718F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对钢结构施工全过程的评价（质量、进度、管理采取的措施和达成目标情况）。</w:t>
      </w:r>
    </w:p>
    <w:p w14:paraId="668A5F1C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（三）设计单位</w:t>
      </w:r>
    </w:p>
    <w:p w14:paraId="45DAE653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设计特点及工程达到设计要求的程度；</w:t>
      </w:r>
    </w:p>
    <w:p w14:paraId="5A8D859F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对钢结构施工质量的评价。</w:t>
      </w:r>
    </w:p>
    <w:p w14:paraId="47F4A238">
      <w:pPr>
        <w:ind w:firstLine="420" w:firstLine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（四）建设单位</w:t>
      </w:r>
    </w:p>
    <w:p w14:paraId="0A585CCB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工程建设概况、工程建设目标和质量要求；</w:t>
      </w:r>
    </w:p>
    <w:p w14:paraId="4B1AD971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对钢结构工程质量的评价（过程评价、验收评价、现状评价）。</w:t>
      </w:r>
    </w:p>
    <w:p w14:paraId="61FB0DAA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hint="eastAsia" w:eastAsia="楷体_GB2312"/>
          <w:b/>
          <w:bCs/>
          <w:color w:val="000000"/>
          <w:sz w:val="28"/>
          <w:szCs w:val="28"/>
        </w:rPr>
        <w:t>四</w:t>
      </w:r>
      <w:r>
        <w:rPr>
          <w:rFonts w:eastAsia="楷体_GB2312"/>
          <w:b/>
          <w:bCs/>
          <w:color w:val="000000"/>
          <w:sz w:val="28"/>
          <w:szCs w:val="28"/>
        </w:rPr>
        <w:t>、实体工程检查并考核评分</w:t>
      </w:r>
    </w:p>
    <w:p w14:paraId="52F06632">
      <w:pPr>
        <w:ind w:firstLine="548" w:firstLineChars="196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（一）实体检查</w:t>
      </w:r>
    </w:p>
    <w:p w14:paraId="3A5FAE32">
      <w:pPr>
        <w:ind w:firstLine="548" w:firstLineChars="196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专家组对工程实体进行细致地观察，所查工程不应存在：</w:t>
      </w:r>
    </w:p>
    <w:p w14:paraId="469A142A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钢结构观感质量有明显缺陷；</w:t>
      </w:r>
    </w:p>
    <w:p w14:paraId="788B976A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焊缝表面观感质量粗糙；</w:t>
      </w:r>
    </w:p>
    <w:p w14:paraId="50BFFD0F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防腐或防火涂层漏涂和外观色差明显；</w:t>
      </w:r>
    </w:p>
    <w:p w14:paraId="290DC85A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防火涂层有较多或较大面积的脱落等问题。</w:t>
      </w:r>
    </w:p>
    <w:p w14:paraId="3FBE123E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（二）施工技术资料检查</w:t>
      </w:r>
    </w:p>
    <w:p w14:paraId="48F941E4">
      <w:pPr>
        <w:ind w:firstLine="548" w:firstLineChars="196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专家组对施工技术资料进行检查，包括但不仅限于以下资料：</w:t>
      </w:r>
    </w:p>
    <w:p w14:paraId="53C48956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施工组织设计、施工方案；</w:t>
      </w:r>
    </w:p>
    <w:p w14:paraId="653CBC50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有关各类技术与施工方案交底；</w:t>
      </w:r>
    </w:p>
    <w:p w14:paraId="6B6C1BDC">
      <w:pPr>
        <w:ind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设计施工图、施工详图和竣工图等图纸资料及设计图纸会审、变更及洽商记录；</w:t>
      </w:r>
    </w:p>
    <w:p w14:paraId="50B1246A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施工日记；</w:t>
      </w:r>
    </w:p>
    <w:p w14:paraId="4B0E3C37">
      <w:pPr>
        <w:adjustRightInd w:val="0"/>
        <w:ind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5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测量放线及测量复核记录、主要构件变形及主体结构尺寸检查记录；工程用计量器具台账及使用前送检合格报告；</w:t>
      </w:r>
    </w:p>
    <w:p w14:paraId="5BB19064">
      <w:pPr>
        <w:adjustRightInd w:val="0"/>
        <w:ind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6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主要原材料、焊材、零（部）件、成品件、标准件的质量证明文件、进场性能复验报告及设计和规范要求的其它试验报告情况；材料进场台账及钢材进场台账等；</w:t>
      </w:r>
    </w:p>
    <w:p w14:paraId="4247FD91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钢构件进场验收资料；</w:t>
      </w:r>
    </w:p>
    <w:p w14:paraId="1E3695F1">
      <w:pPr>
        <w:ind w:firstLine="140" w:firstLineChars="50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8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钢结构焊接工艺文件（包括报告书、指导书、记录、试验等）及钢结构焊接质量检测报告；</w:t>
      </w:r>
    </w:p>
    <w:p w14:paraId="327F5A90">
      <w:pPr>
        <w:ind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9</w:t>
      </w:r>
      <w:r>
        <w:rPr>
          <w:rFonts w:hint="eastAsia" w:eastAsia="楷体_GB2312"/>
        </w:rPr>
        <w:t>、</w:t>
      </w:r>
      <w:r>
        <w:rPr>
          <w:rFonts w:eastAsia="楷体_GB2312"/>
          <w:color w:val="000000"/>
          <w:sz w:val="28"/>
          <w:szCs w:val="28"/>
        </w:rPr>
        <w:t xml:space="preserve">螺栓实物最小荷载复验报告、高强螺栓连接副预拉力、扭矩系数、摩擦面抗滑移系数复验报告、焊接（螺栓）球节点的荷载试验报告、扭矩板手标定记录等； </w:t>
      </w:r>
    </w:p>
    <w:p w14:paraId="75E4BDB1">
      <w:pPr>
        <w:ind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10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防腐涂料（含稀释剂、固化剂）质量证明文件、性能检测报告和涂装涂层厚度、附着力检验报告；防火涂料质量证明文件、性能检测报告和涂装涂层厚度、强度检验报告；</w:t>
      </w:r>
    </w:p>
    <w:p w14:paraId="0F9879F8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技术创新资料；</w:t>
      </w:r>
    </w:p>
    <w:p w14:paraId="3ABDA3DA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工程建设标准强制性条文台账及执行情况；</w:t>
      </w:r>
    </w:p>
    <w:p w14:paraId="0EF99F3F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分项、分部（子分部）工程和隐蔽工程验收记录；</w:t>
      </w:r>
    </w:p>
    <w:p w14:paraId="70FB61F1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其他有关资料等。</w:t>
      </w:r>
    </w:p>
    <w:p w14:paraId="334BD787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（三）项目管理相关资料和文件检查</w:t>
      </w:r>
    </w:p>
    <w:p w14:paraId="69073856">
      <w:pPr>
        <w:ind w:left="420" w:leftChars="200" w:firstLine="140" w:firstLineChars="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专家组对项目管理相关资料和文件进行检查，包括：</w:t>
      </w:r>
    </w:p>
    <w:p w14:paraId="19A2D22C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建设工程规划许可证、施工许可证；</w:t>
      </w:r>
    </w:p>
    <w:p w14:paraId="3EA429A0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项目部组建与项目经理等主要管理团队人员任命文件；</w:t>
      </w:r>
    </w:p>
    <w:p w14:paraId="43B50F40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项目质量、安全、材料、设备、劳务、进度、成本等管理制度；</w:t>
      </w:r>
    </w:p>
    <w:p w14:paraId="256C9B80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现场文明施工、宿舍食堂卫生等管理制度；</w:t>
      </w:r>
    </w:p>
    <w:p w14:paraId="4E66593B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项目人员资格证书；</w:t>
      </w:r>
    </w:p>
    <w:p w14:paraId="0182881D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项目安全生产与质量管理例会纪要；</w:t>
      </w:r>
    </w:p>
    <w:p w14:paraId="40F16981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企业管理层级对项目的质量与安全检查等会议纪要或文件；</w:t>
      </w:r>
    </w:p>
    <w:p w14:paraId="0A65BD42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8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项目相关检查记录与落实台账等。</w:t>
      </w:r>
    </w:p>
    <w:p w14:paraId="19301458">
      <w:pPr>
        <w:rPr>
          <w:rFonts w:eastAsia="楷体_GB2312"/>
          <w:b/>
          <w:bCs/>
          <w:color w:val="000000"/>
          <w:sz w:val="28"/>
          <w:szCs w:val="28"/>
        </w:rPr>
      </w:pPr>
      <w:r>
        <w:rPr>
          <w:rFonts w:hint="eastAsia" w:eastAsia="楷体_GB2312"/>
          <w:b/>
          <w:bCs/>
          <w:color w:val="000000"/>
          <w:sz w:val="28"/>
          <w:szCs w:val="28"/>
        </w:rPr>
        <w:t>五</w:t>
      </w:r>
      <w:r>
        <w:rPr>
          <w:rFonts w:eastAsia="楷体_GB2312"/>
          <w:b/>
          <w:bCs/>
          <w:color w:val="000000"/>
          <w:sz w:val="28"/>
          <w:szCs w:val="28"/>
        </w:rPr>
        <w:t>、专家组现场讲评与总结</w:t>
      </w:r>
    </w:p>
    <w:p w14:paraId="4CC8C1DE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（一）现场检查情况讲评</w:t>
      </w:r>
    </w:p>
    <w:p w14:paraId="1851ED37">
      <w:pPr>
        <w:ind w:left="452" w:leftChars="1" w:hanging="450" w:hangingChars="161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与设计的符合性评价；</w:t>
      </w:r>
    </w:p>
    <w:p w14:paraId="52C975C3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施工组织设计的针对性、适用性评价；</w:t>
      </w:r>
    </w:p>
    <w:p w14:paraId="4238B225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工程观感质量评价；</w:t>
      </w:r>
    </w:p>
    <w:p w14:paraId="44201BD6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钢结构焊接与紧固件连接质量评价；</w:t>
      </w:r>
    </w:p>
    <w:p w14:paraId="0B5CA47A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5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执行工程强制性条文评价；</w:t>
      </w:r>
    </w:p>
    <w:p w14:paraId="4111DC52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6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钢结构用材料台账评价；</w:t>
      </w:r>
    </w:p>
    <w:p w14:paraId="5C814441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7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项目创新与信息化技术应用评价；</w:t>
      </w:r>
    </w:p>
    <w:p w14:paraId="4AB75619">
      <w:pPr>
        <w:ind w:left="451" w:hanging="450" w:hangingChars="161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8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项目综合管理评价；</w:t>
      </w:r>
    </w:p>
    <w:p w14:paraId="4E413DA3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9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质量管理体系的科学实效性评价等。</w:t>
      </w:r>
    </w:p>
    <w:p w14:paraId="21F33975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（二）现场检查意见</w:t>
      </w:r>
    </w:p>
    <w:p w14:paraId="067ADD58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1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是否推荐该项目参评</w:t>
      </w:r>
      <w:r>
        <w:rPr>
          <w:rFonts w:hint="eastAsia" w:eastAsia="楷体_GB2312"/>
          <w:color w:val="000000"/>
          <w:sz w:val="28"/>
          <w:szCs w:val="28"/>
        </w:rPr>
        <w:t>山东省钢结构行业协会</w:t>
      </w:r>
      <w:r>
        <w:rPr>
          <w:rFonts w:eastAsia="楷体_GB2312"/>
          <w:color w:val="000000"/>
          <w:sz w:val="28"/>
          <w:szCs w:val="28"/>
        </w:rPr>
        <w:t>钢结构</w:t>
      </w:r>
      <w:r>
        <w:rPr>
          <w:rFonts w:hint="eastAsia" w:eastAsia="楷体_GB2312"/>
          <w:color w:val="000000"/>
          <w:sz w:val="28"/>
          <w:szCs w:val="28"/>
          <w:lang w:eastAsia="zh-CN"/>
        </w:rPr>
        <w:t>金质</w:t>
      </w:r>
      <w:r>
        <w:rPr>
          <w:rFonts w:hint="eastAsia" w:eastAsia="楷体_GB2312"/>
          <w:color w:val="000000"/>
          <w:sz w:val="28"/>
          <w:szCs w:val="28"/>
        </w:rPr>
        <w:t>工程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>会评</w:t>
      </w:r>
      <w:r>
        <w:rPr>
          <w:rFonts w:eastAsia="楷体_GB2312"/>
          <w:color w:val="000000"/>
          <w:sz w:val="28"/>
          <w:szCs w:val="28"/>
        </w:rPr>
        <w:t>。</w:t>
      </w:r>
    </w:p>
    <w:p w14:paraId="1208371A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质量提高与改进建议。</w:t>
      </w:r>
    </w:p>
    <w:p w14:paraId="4D2580F4">
      <w:pPr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</w:p>
    <w:p w14:paraId="603B3B0A"/>
    <w:p w14:paraId="7C9F7F03"/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5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7DB4"/>
    <w:rsid w:val="42A374EC"/>
    <w:rsid w:val="54A011D4"/>
    <w:rsid w:val="727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q"/>
    <w:basedOn w:val="1"/>
    <w:qFormat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978</Words>
  <Characters>984</Characters>
  <Lines>0</Lines>
  <Paragraphs>0</Paragraphs>
  <TotalTime>2</TotalTime>
  <ScaleCrop>false</ScaleCrop>
  <LinksUpToDate>false</LinksUpToDate>
  <CharactersWithSpaces>1025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2024-11-25T02:16:00Z</dcterms:created>
  <dc:creator>Hana</dc:creator>
  <cp:lastModifiedBy>Hana</cp:lastModifiedBy>
  <dcterms:modified xsi:type="dcterms:W3CDTF">2024-11-25T08:47:20Z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8010DF1BD2EC4A8EB2E26B12EBCDB26C_11</vt:lpwstr>
  </property>
</Properties>
</file>