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44"/>
          <w:szCs w:val="44"/>
        </w:rPr>
      </w:pPr>
    </w:p>
    <w:p>
      <w:pPr>
        <w:jc w:val="center"/>
        <w:rPr>
          <w:rFonts w:ascii="方正小标宋简体" w:eastAsia="方正小标宋简体"/>
          <w:sz w:val="52"/>
          <w:szCs w:val="52"/>
        </w:rPr>
      </w:pPr>
      <w:r>
        <w:rPr>
          <w:rFonts w:hint="eastAsia" w:ascii="方正小标宋简体" w:eastAsia="方正小标宋简体"/>
          <w:sz w:val="52"/>
          <w:szCs w:val="52"/>
        </w:rPr>
        <w:t>山东省钢结构行业协会</w:t>
      </w:r>
    </w:p>
    <w:p>
      <w:pPr>
        <w:jc w:val="center"/>
        <w:rPr>
          <w:rFonts w:ascii="方正小标宋简体" w:eastAsia="方正小标宋简体"/>
          <w:sz w:val="44"/>
          <w:szCs w:val="44"/>
        </w:rPr>
      </w:pPr>
      <w:r>
        <w:rPr>
          <w:rFonts w:hint="eastAsia" w:ascii="方正小标宋简体" w:eastAsia="方正小标宋简体"/>
          <w:sz w:val="44"/>
          <w:szCs w:val="44"/>
        </w:rPr>
        <w:t>《钢结构装配式住宅建筑与装修一体化</w:t>
      </w:r>
    </w:p>
    <w:p>
      <w:pPr>
        <w:jc w:val="center"/>
        <w:rPr>
          <w:rFonts w:ascii="方正小标宋简体" w:eastAsia="方正小标宋简体"/>
          <w:sz w:val="44"/>
          <w:szCs w:val="44"/>
        </w:rPr>
      </w:pPr>
      <w:r>
        <w:rPr>
          <w:rFonts w:hint="eastAsia" w:ascii="方正小标宋简体" w:eastAsia="方正小标宋简体"/>
          <w:sz w:val="44"/>
          <w:szCs w:val="44"/>
        </w:rPr>
        <w:t>应用技术规程》</w:t>
      </w:r>
    </w:p>
    <w:p>
      <w:pPr>
        <w:jc w:val="center"/>
        <w:rPr>
          <w:rFonts w:ascii="方正小标宋简体" w:eastAsia="方正小标宋简体"/>
          <w:sz w:val="44"/>
          <w:szCs w:val="44"/>
        </w:rPr>
      </w:pPr>
      <w:r>
        <w:rPr>
          <w:rFonts w:hint="eastAsia" w:ascii="方正小标宋简体" w:eastAsia="方正小标宋简体"/>
          <w:sz w:val="44"/>
          <w:szCs w:val="44"/>
        </w:rPr>
        <w:t>编制说明</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仿宋" w:hAnsi="仿宋" w:eastAsia="仿宋"/>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spacing w:after="312" w:afterLines="100"/>
        <w:jc w:val="center"/>
        <w:rPr>
          <w:rFonts w:ascii="华文中宋" w:hAnsi="华文中宋" w:eastAsia="华文中宋"/>
          <w:bCs/>
          <w:sz w:val="32"/>
          <w:szCs w:val="32"/>
        </w:rPr>
      </w:pPr>
      <w:r>
        <w:rPr>
          <w:rFonts w:hint="eastAsia" w:ascii="华文中宋" w:hAnsi="华文中宋" w:eastAsia="华文中宋"/>
          <w:bCs/>
          <w:sz w:val="32"/>
          <w:szCs w:val="32"/>
        </w:rPr>
        <w:t>标准起草工作组</w:t>
      </w:r>
    </w:p>
    <w:p>
      <w:pPr>
        <w:spacing w:after="312" w:afterLines="100"/>
        <w:jc w:val="center"/>
        <w:rPr>
          <w:rFonts w:ascii="华文中宋" w:hAnsi="华文中宋" w:eastAsia="华文中宋"/>
          <w:bCs/>
          <w:sz w:val="32"/>
          <w:szCs w:val="32"/>
        </w:rPr>
      </w:pPr>
      <w:r>
        <w:rPr>
          <w:rFonts w:hint="eastAsia" w:ascii="华文中宋" w:hAnsi="华文中宋" w:eastAsia="华文中宋"/>
          <w:bCs/>
          <w:sz w:val="32"/>
          <w:szCs w:val="32"/>
        </w:rPr>
        <w:t>二○二一年十一月</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《钢结构装配式住宅建筑与装修一体化应用技术规程》团体标准</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编制说明</w:t>
      </w:r>
    </w:p>
    <w:p>
      <w:pPr>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任务来源</w:t>
      </w:r>
    </w:p>
    <w:p>
      <w:pPr>
        <w:ind w:firstLine="640" w:firstLineChars="200"/>
        <w:rPr>
          <w:rFonts w:ascii="仿宋" w:hAnsi="仿宋" w:eastAsia="仿宋"/>
          <w:sz w:val="32"/>
          <w:szCs w:val="32"/>
        </w:rPr>
      </w:pPr>
      <w:r>
        <w:rPr>
          <w:rFonts w:hint="eastAsia" w:ascii="仿宋" w:hAnsi="仿宋" w:eastAsia="仿宋"/>
          <w:sz w:val="32"/>
          <w:szCs w:val="32"/>
        </w:rPr>
        <w:t>发展装配式住宅，是当前国家经济转型、社会发展的必然，是后工业时代住宅产业升级的方向，也是对传统设计、建造模式的一次重要变革。装配式住宅建筑若仅仅考虑结构部件化，建成后让住户自由装修，造成的破坏性和不安全性也许更严重。装配式住宅如果不实施装修一体化，是残缺的建筑工业化。装修工业化要从建筑设计的初期开始，统一建筑布局，统一布置家居、统一布置管线、统一采购部品材料，才能达到装修施工中各接口的融洽链接，而这对装配式建筑尤为重要。装配式住宅装修一体化的研究初衷，就是为了解决住宅二次装修浪费等问题，而研究的基本原则就是标准化和模块化的设计标准。设计标准化和装修一体化是装配式建筑的重要特征，智能化建造是未来住宅建筑的发展方向，而当前还缺乏相应的实施细则和可操作的技术标准。</w:t>
      </w:r>
    </w:p>
    <w:p>
      <w:pPr>
        <w:ind w:firstLine="645"/>
        <w:rPr>
          <w:rFonts w:ascii="仿宋" w:hAnsi="仿宋" w:eastAsia="仿宋"/>
          <w:sz w:val="32"/>
          <w:szCs w:val="32"/>
        </w:rPr>
      </w:pPr>
      <w:r>
        <w:rPr>
          <w:rFonts w:hint="eastAsia" w:ascii="仿宋" w:hAnsi="仿宋" w:eastAsia="仿宋"/>
          <w:sz w:val="32"/>
          <w:szCs w:val="32"/>
        </w:rPr>
        <w:t>为促进装配式住宅建筑的健康发展，济南市城乡建设发展服务中心委托章丘市第二建筑安装（集团）有限责任公司联合山东建筑大学向山东省钢结构行业协会提出制定《钢结构装配式住宅建筑与装修一体化应用技术规程》团体标准，经协会论证，获得立项。</w:t>
      </w:r>
    </w:p>
    <w:p>
      <w:pPr>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主要</w:t>
      </w:r>
      <w:r>
        <w:rPr>
          <w:rFonts w:ascii="黑体" w:hAnsi="黑体" w:eastAsia="黑体"/>
          <w:sz w:val="32"/>
          <w:szCs w:val="32"/>
        </w:rPr>
        <w:t>工作</w:t>
      </w:r>
      <w:r>
        <w:rPr>
          <w:rFonts w:hint="eastAsia" w:ascii="黑体" w:hAnsi="黑体" w:eastAsia="黑体"/>
          <w:sz w:val="32"/>
          <w:szCs w:val="32"/>
        </w:rPr>
        <w:t>过程</w:t>
      </w:r>
    </w:p>
    <w:p>
      <w:pPr>
        <w:spacing w:line="360" w:lineRule="auto"/>
        <w:ind w:firstLine="640" w:firstLineChars="200"/>
        <w:rPr>
          <w:rFonts w:ascii="仿宋" w:hAnsi="仿宋" w:eastAsia="仿宋"/>
          <w:sz w:val="32"/>
          <w:szCs w:val="32"/>
        </w:rPr>
      </w:pPr>
      <w:r>
        <w:rPr>
          <w:rFonts w:hint="eastAsia" w:ascii="仿宋_GB2312" w:hAnsi="仿宋" w:eastAsia="仿宋_GB2312"/>
          <w:sz w:val="32"/>
          <w:szCs w:val="32"/>
        </w:rPr>
        <w:t>第一阶段：</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7</w:t>
      </w:r>
      <w:r>
        <w:rPr>
          <w:rFonts w:hint="eastAsia" w:ascii="仿宋" w:hAnsi="仿宋" w:eastAsia="仿宋"/>
          <w:sz w:val="32"/>
          <w:szCs w:val="32"/>
        </w:rPr>
        <w:t>月，起草标准草案</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《钢结构装配式住宅建筑与装修一体化应用技术规程》团体标准编制工作，于202</w:t>
      </w:r>
      <w:r>
        <w:rPr>
          <w:rFonts w:ascii="仿宋_GB2312" w:hAnsi="仿宋" w:eastAsia="仿宋_GB2312"/>
          <w:sz w:val="32"/>
          <w:szCs w:val="32"/>
        </w:rPr>
        <w:t>1</w:t>
      </w:r>
      <w:r>
        <w:rPr>
          <w:rFonts w:hint="eastAsia" w:ascii="仿宋_GB2312" w:hAnsi="仿宋" w:eastAsia="仿宋_GB2312"/>
          <w:sz w:val="32"/>
          <w:szCs w:val="32"/>
        </w:rPr>
        <w:t>年</w:t>
      </w:r>
      <w:r>
        <w:rPr>
          <w:rFonts w:ascii="仿宋_GB2312" w:hAnsi="仿宋" w:eastAsia="仿宋_GB2312"/>
          <w:sz w:val="32"/>
          <w:szCs w:val="32"/>
        </w:rPr>
        <w:t>7</w:t>
      </w:r>
      <w:r>
        <w:rPr>
          <w:rFonts w:hint="eastAsia" w:ascii="仿宋_GB2312" w:hAnsi="仿宋" w:eastAsia="仿宋_GB2312"/>
          <w:sz w:val="32"/>
          <w:szCs w:val="32"/>
        </w:rPr>
        <w:t>月正式启动，济南市城乡发展服务中心牵头，负责标准技术内容的确定。在编制过程中，章丘市第二建筑安装（集团）有限责任公司联合山东建筑大学等单位成立编制小组。起草人员梳理分析了钢结构装配式住宅建筑与装修一体化应用技术规程相关国家标准、行业标准，对钢结构装配式住宅建筑与装修一体化应用进行了研究，并在工程中进行实际应用，从而明确标准的框架和主要技术内容，形成标准草案。</w:t>
      </w:r>
    </w:p>
    <w:p>
      <w:pPr>
        <w:spacing w:line="360" w:lineRule="auto"/>
        <w:ind w:firstLine="640" w:firstLineChars="200"/>
        <w:rPr>
          <w:rFonts w:ascii="仿宋" w:hAnsi="仿宋" w:eastAsia="仿宋"/>
          <w:sz w:val="32"/>
          <w:szCs w:val="32"/>
        </w:rPr>
      </w:pPr>
      <w:r>
        <w:rPr>
          <w:rFonts w:hint="eastAsia" w:ascii="仿宋_GB2312" w:hAnsi="仿宋" w:eastAsia="仿宋_GB2312"/>
          <w:sz w:val="32"/>
          <w:szCs w:val="32"/>
        </w:rPr>
        <w:t>第二阶段：</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年9月—10月，讨论并修改完善标准草案，形成标准征求意见稿。</w:t>
      </w:r>
    </w:p>
    <w:p>
      <w:pPr>
        <w:ind w:firstLine="640" w:firstLineChars="200"/>
        <w:rPr>
          <w:rFonts w:ascii="黑体" w:hAnsi="黑体" w:eastAsia="黑体"/>
          <w:sz w:val="32"/>
          <w:szCs w:val="32"/>
        </w:rPr>
      </w:pPr>
      <w:r>
        <w:rPr>
          <w:rFonts w:hint="eastAsia" w:ascii="仿宋" w:hAnsi="仿宋" w:eastAsia="仿宋"/>
          <w:sz w:val="32"/>
          <w:szCs w:val="32"/>
        </w:rPr>
        <w:t>为确保标准内容的科学性、全面性及可操作性，标准起草组先后在9月、10月分别在线上、线下组织召开研讨会，对标准具体内容与现行国家及行业标准的一致性和差异性进行分析，形成标准征求意见稿。</w:t>
      </w:r>
    </w:p>
    <w:p>
      <w:pPr>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标准制定的</w:t>
      </w:r>
      <w:r>
        <w:rPr>
          <w:rFonts w:ascii="黑体" w:hAnsi="黑体" w:eastAsia="黑体"/>
          <w:sz w:val="32"/>
          <w:szCs w:val="32"/>
        </w:rPr>
        <w:t>基本原则</w:t>
      </w:r>
    </w:p>
    <w:p>
      <w:pPr>
        <w:ind w:firstLine="640" w:firstLineChars="200"/>
        <w:rPr>
          <w:rFonts w:ascii="仿宋" w:hAnsi="仿宋" w:eastAsia="仿宋"/>
          <w:sz w:val="32"/>
          <w:szCs w:val="32"/>
        </w:rPr>
      </w:pPr>
      <w:r>
        <w:rPr>
          <w:rFonts w:hint="eastAsia" w:ascii="仿宋" w:hAnsi="仿宋" w:eastAsia="仿宋"/>
          <w:sz w:val="32"/>
          <w:szCs w:val="32"/>
        </w:rPr>
        <w:t>本标准制定以确保科学适用性和可行性，体现先进性为基本原则，并做到与我省工作实际相结合，标</w:t>
      </w:r>
      <w:bookmarkStart w:id="0" w:name="_GoBack"/>
      <w:bookmarkEnd w:id="0"/>
      <w:r>
        <w:rPr>
          <w:rFonts w:hint="eastAsia" w:ascii="仿宋" w:hAnsi="仿宋" w:eastAsia="仿宋"/>
          <w:sz w:val="32"/>
          <w:szCs w:val="32"/>
        </w:rPr>
        <w:t>准在制定过程遵循以下原则：</w:t>
      </w:r>
    </w:p>
    <w:p>
      <w:pPr>
        <w:ind w:firstLine="640" w:firstLineChars="200"/>
        <w:rPr>
          <w:rFonts w:ascii="仿宋" w:hAnsi="仿宋" w:eastAsia="仿宋"/>
          <w:sz w:val="32"/>
          <w:szCs w:val="32"/>
        </w:rPr>
      </w:pPr>
      <w:r>
        <w:rPr>
          <w:rFonts w:hint="eastAsia" w:ascii="仿宋" w:hAnsi="仿宋" w:eastAsia="仿宋"/>
          <w:sz w:val="32"/>
          <w:szCs w:val="32"/>
        </w:rPr>
        <w:t>1、依法原则。本标准与我国现行相关法律、法规和现行强制性标准相一致。</w:t>
      </w:r>
    </w:p>
    <w:p>
      <w:pPr>
        <w:ind w:firstLine="640" w:firstLineChars="200"/>
        <w:rPr>
          <w:rFonts w:ascii="仿宋" w:hAnsi="仿宋" w:eastAsia="仿宋"/>
          <w:sz w:val="32"/>
          <w:szCs w:val="32"/>
        </w:rPr>
      </w:pPr>
      <w:r>
        <w:rPr>
          <w:rFonts w:hint="eastAsia" w:ascii="仿宋" w:hAnsi="仿宋" w:eastAsia="仿宋"/>
          <w:sz w:val="32"/>
          <w:szCs w:val="32"/>
        </w:rPr>
        <w:t>2、科学适用性原则。本标准结合钢结构装配式住宅建筑与装修一体化应用技术规程的应用</w:t>
      </w:r>
      <w:r>
        <w:rPr>
          <w:rFonts w:ascii="仿宋" w:hAnsi="仿宋" w:eastAsia="仿宋"/>
          <w:sz w:val="32"/>
          <w:szCs w:val="32"/>
        </w:rPr>
        <w:t>特性，</w:t>
      </w:r>
      <w:r>
        <w:rPr>
          <w:rFonts w:hint="eastAsia" w:ascii="仿宋" w:hAnsi="仿宋" w:eastAsia="仿宋"/>
          <w:sz w:val="32"/>
          <w:szCs w:val="32"/>
        </w:rPr>
        <w:t>在符合相关国家、行业标准的前提下，明确了对钢材的具体要求。</w:t>
      </w:r>
    </w:p>
    <w:p>
      <w:pPr>
        <w:ind w:firstLine="640" w:firstLineChars="200"/>
        <w:rPr>
          <w:rFonts w:ascii="仿宋" w:hAnsi="仿宋" w:eastAsia="仿宋"/>
          <w:sz w:val="32"/>
          <w:szCs w:val="32"/>
        </w:rPr>
      </w:pPr>
      <w:r>
        <w:rPr>
          <w:rFonts w:hint="eastAsia" w:ascii="仿宋" w:hAnsi="仿宋" w:eastAsia="仿宋"/>
          <w:sz w:val="32"/>
          <w:szCs w:val="32"/>
        </w:rPr>
        <w:t>3、协调、统一原则。本标准在编制过程中注重与现行国家标准、行业标准的协调一致。</w:t>
      </w:r>
    </w:p>
    <w:p>
      <w:pPr>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 xml:space="preserve">确定标准主要内容的依据 </w:t>
      </w:r>
    </w:p>
    <w:p>
      <w:pPr>
        <w:ind w:firstLine="640" w:firstLineChars="200"/>
        <w:rPr>
          <w:rFonts w:ascii="楷体" w:hAnsi="楷体" w:eastAsia="楷体"/>
          <w:sz w:val="32"/>
          <w:szCs w:val="32"/>
        </w:rPr>
      </w:pPr>
      <w:r>
        <w:rPr>
          <w:rFonts w:hint="eastAsia" w:ascii="楷体" w:hAnsi="楷体" w:eastAsia="楷体"/>
          <w:sz w:val="32"/>
          <w:szCs w:val="32"/>
        </w:rPr>
        <w:t>1、标准的主要内容</w:t>
      </w:r>
    </w:p>
    <w:p>
      <w:pPr>
        <w:ind w:firstLine="640" w:firstLineChars="200"/>
        <w:rPr>
          <w:rFonts w:ascii="仿宋" w:hAnsi="仿宋" w:eastAsia="仿宋"/>
          <w:sz w:val="32"/>
          <w:szCs w:val="32"/>
        </w:rPr>
      </w:pPr>
      <w:r>
        <w:rPr>
          <w:rFonts w:hint="eastAsia" w:ascii="仿宋" w:hAnsi="仿宋" w:eastAsia="仿宋"/>
          <w:sz w:val="32"/>
          <w:szCs w:val="32"/>
        </w:rPr>
        <w:t>本规程共分6章，主要技术内容包括：总则、术语、基本规定、设计一体化技术要求、施工一体化技术要求、一体化验收技术要求。</w:t>
      </w:r>
    </w:p>
    <w:p>
      <w:pPr>
        <w:ind w:firstLine="640" w:firstLineChars="200"/>
        <w:rPr>
          <w:rFonts w:ascii="仿宋" w:hAnsi="仿宋" w:eastAsia="仿宋"/>
          <w:sz w:val="32"/>
          <w:szCs w:val="32"/>
        </w:rPr>
      </w:pPr>
      <w:r>
        <w:rPr>
          <w:rFonts w:hint="eastAsia" w:ascii="仿宋" w:hAnsi="仿宋" w:eastAsia="仿宋"/>
          <w:sz w:val="32"/>
          <w:szCs w:val="32"/>
        </w:rPr>
        <w:t>本文件适用于山东省钢结构装配式住宅建筑与装修一体化工程。</w:t>
      </w:r>
    </w:p>
    <w:p>
      <w:pPr>
        <w:ind w:firstLine="640" w:firstLineChars="200"/>
        <w:rPr>
          <w:rFonts w:ascii="楷体" w:hAnsi="楷体" w:eastAsia="楷体"/>
          <w:sz w:val="32"/>
          <w:szCs w:val="32"/>
        </w:rPr>
      </w:pPr>
      <w:r>
        <w:rPr>
          <w:rFonts w:hint="eastAsia" w:ascii="楷体" w:hAnsi="楷体" w:eastAsia="楷体"/>
          <w:sz w:val="32"/>
          <w:szCs w:val="32"/>
        </w:rPr>
        <w:t>2、标准内容主要依据</w:t>
      </w:r>
    </w:p>
    <w:p>
      <w:pPr>
        <w:ind w:firstLine="480" w:firstLineChars="150"/>
        <w:rPr>
          <w:rFonts w:hint="eastAsia" w:ascii="仿宋" w:hAnsi="仿宋" w:eastAsia="仿宋"/>
          <w:sz w:val="32"/>
          <w:szCs w:val="32"/>
        </w:rPr>
      </w:pPr>
      <w:r>
        <w:rPr>
          <w:rFonts w:hint="eastAsia" w:ascii="仿宋" w:hAnsi="仿宋" w:eastAsia="仿宋"/>
          <w:sz w:val="32"/>
          <w:szCs w:val="32"/>
        </w:rPr>
        <w:t>装配式住宅建筑与装修一体化的核心是：建筑与装修一体化设计、一体化施工、一体化验收。以标准化和模块化为主要特征，以BIM应用为技术手段。装配式装修的四大特征主要表现在：</w:t>
      </w:r>
    </w:p>
    <w:p>
      <w:pPr>
        <w:ind w:firstLine="480" w:firstLineChars="150"/>
        <w:rPr>
          <w:rFonts w:hint="eastAsia" w:ascii="仿宋" w:hAnsi="仿宋" w:eastAsia="仿宋"/>
          <w:sz w:val="32"/>
          <w:szCs w:val="32"/>
          <w:lang w:eastAsia="zh-CN"/>
        </w:rPr>
      </w:pPr>
      <w:r>
        <w:rPr>
          <w:rFonts w:hint="eastAsia" w:ascii="仿宋" w:hAnsi="仿宋" w:eastAsia="仿宋"/>
          <w:sz w:val="32"/>
          <w:szCs w:val="32"/>
        </w:rPr>
        <w:t>（1）标准化设计：建筑设计与装修设计一体化模数，BIM模型协同设计；验证建筑、设备、管线与装修零冲突</w:t>
      </w:r>
      <w:r>
        <w:rPr>
          <w:rFonts w:hint="eastAsia" w:ascii="仿宋" w:hAnsi="仿宋" w:eastAsia="仿宋"/>
          <w:sz w:val="32"/>
          <w:szCs w:val="32"/>
          <w:lang w:eastAsia="zh-CN"/>
        </w:rPr>
        <w:t>。</w:t>
      </w:r>
    </w:p>
    <w:p>
      <w:pPr>
        <w:ind w:firstLine="480" w:firstLineChars="150"/>
        <w:rPr>
          <w:rFonts w:hint="eastAsia" w:ascii="仿宋" w:hAnsi="仿宋" w:eastAsia="仿宋"/>
          <w:sz w:val="32"/>
          <w:szCs w:val="32"/>
        </w:rPr>
      </w:pPr>
      <w:r>
        <w:rPr>
          <w:rFonts w:hint="eastAsia" w:ascii="仿宋" w:hAnsi="仿宋" w:eastAsia="仿宋"/>
          <w:sz w:val="32"/>
          <w:szCs w:val="32"/>
        </w:rPr>
        <w:t>（2）工业化生产：产品统一部品化、部品统一型号规格、部品统一设计标准。</w:t>
      </w:r>
    </w:p>
    <w:p>
      <w:pPr>
        <w:ind w:firstLine="480" w:firstLineChars="150"/>
        <w:rPr>
          <w:rFonts w:hint="eastAsia" w:ascii="仿宋" w:hAnsi="仿宋" w:eastAsia="仿宋"/>
          <w:sz w:val="32"/>
          <w:szCs w:val="32"/>
        </w:rPr>
      </w:pPr>
      <w:r>
        <w:rPr>
          <w:rFonts w:hint="eastAsia" w:ascii="仿宋" w:hAnsi="仿宋" w:eastAsia="仿宋"/>
          <w:sz w:val="32"/>
          <w:szCs w:val="32"/>
        </w:rPr>
        <w:t>（3）装配化施工：由产业工人现场装配，通过工厂化管理规范装配动作和程序。</w:t>
      </w:r>
    </w:p>
    <w:p>
      <w:pPr>
        <w:ind w:firstLine="480" w:firstLineChars="150"/>
        <w:rPr>
          <w:rFonts w:ascii="仿宋" w:hAnsi="仿宋" w:eastAsia="仿宋"/>
          <w:sz w:val="32"/>
          <w:szCs w:val="32"/>
        </w:rPr>
      </w:pPr>
      <w:r>
        <w:rPr>
          <w:rFonts w:hint="eastAsia" w:ascii="仿宋" w:hAnsi="仿宋" w:eastAsia="仿宋"/>
          <w:sz w:val="32"/>
          <w:szCs w:val="32"/>
        </w:rPr>
        <w:t>（4）信息化协同：部品标准化、模块化、模数化，从测量数据与工厂智造协同，现场进度与工程配送协同</w:t>
      </w:r>
      <w:r>
        <w:rPr>
          <w:rFonts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五、国内外现行相关法律、法规和标准情况</w:t>
      </w:r>
    </w:p>
    <w:p>
      <w:pPr>
        <w:ind w:firstLine="640" w:firstLineChars="200"/>
        <w:rPr>
          <w:rFonts w:ascii="仿宋" w:hAnsi="仿宋" w:eastAsia="仿宋"/>
          <w:sz w:val="32"/>
          <w:szCs w:val="32"/>
        </w:rPr>
      </w:pPr>
      <w:r>
        <w:rPr>
          <w:rFonts w:ascii="仿宋" w:hAnsi="仿宋" w:eastAsia="仿宋"/>
          <w:sz w:val="32"/>
          <w:szCs w:val="32"/>
        </w:rPr>
        <w:t>本标准为推荐性标准，与现行</w:t>
      </w:r>
      <w:r>
        <w:rPr>
          <w:rFonts w:hint="eastAsia" w:ascii="仿宋" w:hAnsi="仿宋" w:eastAsia="仿宋"/>
          <w:sz w:val="32"/>
          <w:szCs w:val="32"/>
        </w:rPr>
        <w:t>法律、法规和强制性标准内容保持一致，引用的标准的最新版本适用于本标准。</w:t>
      </w:r>
    </w:p>
    <w:p>
      <w:pPr>
        <w:ind w:firstLine="640" w:firstLineChars="200"/>
        <w:rPr>
          <w:rFonts w:ascii="黑体" w:hAnsi="黑体" w:eastAsia="黑体"/>
          <w:sz w:val="32"/>
          <w:szCs w:val="32"/>
        </w:rPr>
      </w:pPr>
      <w:r>
        <w:rPr>
          <w:rFonts w:hint="eastAsia" w:ascii="黑体" w:hAnsi="黑体" w:eastAsia="黑体"/>
          <w:sz w:val="32"/>
          <w:szCs w:val="32"/>
        </w:rPr>
        <w:t>六、重大意见分歧的处理依据和结果</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无。</w:t>
      </w:r>
    </w:p>
    <w:p>
      <w:pPr>
        <w:ind w:firstLine="640" w:firstLineChars="200"/>
        <w:rPr>
          <w:rFonts w:ascii="黑体" w:hAnsi="黑体" w:eastAsia="黑体"/>
          <w:sz w:val="32"/>
          <w:szCs w:val="32"/>
        </w:rPr>
      </w:pPr>
      <w:r>
        <w:rPr>
          <w:rFonts w:hint="eastAsia" w:ascii="黑体" w:hAnsi="黑体" w:eastAsia="黑体"/>
          <w:sz w:val="32"/>
          <w:szCs w:val="32"/>
        </w:rPr>
        <w:t>七、预期的社会经济效益及贯彻实施标准的要求、措施等建议</w:t>
      </w:r>
    </w:p>
    <w:p>
      <w:pPr>
        <w:ind w:firstLine="640" w:firstLineChars="200"/>
        <w:rPr>
          <w:rFonts w:ascii="仿宋" w:hAnsi="仿宋" w:eastAsia="仿宋"/>
          <w:sz w:val="32"/>
          <w:szCs w:val="32"/>
        </w:rPr>
      </w:pPr>
      <w:r>
        <w:rPr>
          <w:rFonts w:hint="eastAsia" w:ascii="仿宋" w:hAnsi="仿宋" w:eastAsia="仿宋"/>
          <w:sz w:val="32"/>
          <w:szCs w:val="32"/>
        </w:rPr>
        <w:t>本标准发布后，可作为钢结构装配式住宅建筑与装修一体化工程应用的依据，为相关工作的开展提供技术支持。</w:t>
      </w:r>
    </w:p>
    <w:p>
      <w:pPr>
        <w:ind w:firstLine="640" w:firstLineChars="200"/>
        <w:rPr>
          <w:rFonts w:ascii="黑体" w:hAnsi="黑体" w:eastAsia="黑体"/>
          <w:sz w:val="32"/>
          <w:szCs w:val="32"/>
        </w:rPr>
      </w:pPr>
      <w:r>
        <w:rPr>
          <w:rFonts w:hint="eastAsia" w:ascii="黑体" w:hAnsi="黑体" w:eastAsia="黑体"/>
          <w:sz w:val="32"/>
          <w:szCs w:val="32"/>
        </w:rPr>
        <w:t>八、其他应当说明的事项</w:t>
      </w:r>
    </w:p>
    <w:p>
      <w:pPr>
        <w:pStyle w:val="15"/>
        <w:numPr>
          <w:ilvl w:val="0"/>
          <w:numId w:val="0"/>
        </w:numPr>
        <w:ind w:firstLine="640" w:firstLineChars="200"/>
        <w:outlineLvl w:val="9"/>
        <w:rPr>
          <w:rFonts w:ascii="仿宋" w:hAnsi="仿宋" w:eastAsia="仿宋" w:cs="宋体"/>
          <w:sz w:val="32"/>
          <w:szCs w:val="32"/>
        </w:rPr>
      </w:pPr>
      <w:r>
        <w:rPr>
          <w:rFonts w:hint="eastAsia" w:ascii="仿宋" w:hAnsi="仿宋" w:eastAsia="仿宋" w:cs="宋体"/>
          <w:sz w:val="32"/>
          <w:szCs w:val="32"/>
        </w:rPr>
        <w:t>无。</w:t>
      </w:r>
    </w:p>
    <w:p>
      <w:pPr>
        <w:spacing w:line="360" w:lineRule="auto"/>
        <w:ind w:left="-65" w:leftChars="-31" w:firstLine="640" w:firstLineChars="200"/>
        <w:jc w:val="right"/>
        <w:rPr>
          <w:rFonts w:ascii="仿宋" w:hAnsi="仿宋" w:eastAsia="仿宋"/>
          <w:sz w:val="32"/>
          <w:szCs w:val="32"/>
        </w:rPr>
      </w:pPr>
    </w:p>
    <w:p>
      <w:pPr>
        <w:spacing w:line="360" w:lineRule="auto"/>
        <w:ind w:left="-65" w:leftChars="-31" w:firstLine="640" w:firstLineChars="200"/>
        <w:jc w:val="right"/>
        <w:rPr>
          <w:rFonts w:ascii="仿宋" w:hAnsi="仿宋" w:eastAsia="仿宋"/>
          <w:sz w:val="32"/>
          <w:szCs w:val="32"/>
        </w:rPr>
      </w:pPr>
      <w:r>
        <w:rPr>
          <w:rFonts w:hint="eastAsia" w:ascii="仿宋" w:hAnsi="仿宋" w:eastAsia="仿宋"/>
          <w:sz w:val="32"/>
          <w:szCs w:val="32"/>
        </w:rPr>
        <w:t>标准起草工作组</w:t>
      </w:r>
    </w:p>
    <w:p>
      <w:pPr>
        <w:jc w:val="right"/>
        <w:rPr>
          <w:rFonts w:ascii="黑体" w:hAnsi="黑体" w:eastAsia="黑体"/>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年11月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11"/>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pStyle w:val="13"/>
      <w:suff w:val="nothing"/>
      <w:lvlText w:val="%1.%2.%3.%4.%5　"/>
      <w:lvlJc w:val="left"/>
      <w:pPr>
        <w:ind w:left="0" w:firstLine="0"/>
      </w:pPr>
      <w:rPr>
        <w:rFonts w:hint="eastAsia" w:ascii="黑体" w:hAnsi="Times New Roman" w:eastAsia="黑体"/>
        <w:b w:val="0"/>
        <w:i w:val="0"/>
        <w:sz w:val="21"/>
      </w:rPr>
    </w:lvl>
    <w:lvl w:ilvl="5" w:tentative="0">
      <w:start w:val="1"/>
      <w:numFmt w:val="decimal"/>
      <w:pStyle w:val="1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13"/>
    <w:rsid w:val="000144F7"/>
    <w:rsid w:val="00064B30"/>
    <w:rsid w:val="00095A8B"/>
    <w:rsid w:val="000A12EF"/>
    <w:rsid w:val="001069D8"/>
    <w:rsid w:val="00133FB7"/>
    <w:rsid w:val="001422D6"/>
    <w:rsid w:val="00160860"/>
    <w:rsid w:val="0019679E"/>
    <w:rsid w:val="00197E14"/>
    <w:rsid w:val="001B11A0"/>
    <w:rsid w:val="002121D8"/>
    <w:rsid w:val="00335B21"/>
    <w:rsid w:val="003527F4"/>
    <w:rsid w:val="00367C6C"/>
    <w:rsid w:val="003808E7"/>
    <w:rsid w:val="003D3046"/>
    <w:rsid w:val="00464ED8"/>
    <w:rsid w:val="00474061"/>
    <w:rsid w:val="00491355"/>
    <w:rsid w:val="004F09B9"/>
    <w:rsid w:val="00524674"/>
    <w:rsid w:val="00553FF6"/>
    <w:rsid w:val="005D3FDE"/>
    <w:rsid w:val="005F2891"/>
    <w:rsid w:val="00607615"/>
    <w:rsid w:val="00620646"/>
    <w:rsid w:val="006662BE"/>
    <w:rsid w:val="006767AD"/>
    <w:rsid w:val="006930C3"/>
    <w:rsid w:val="006B67F7"/>
    <w:rsid w:val="006B6B6F"/>
    <w:rsid w:val="006F7D4D"/>
    <w:rsid w:val="00704BA1"/>
    <w:rsid w:val="00715F44"/>
    <w:rsid w:val="00753DAD"/>
    <w:rsid w:val="00772ECA"/>
    <w:rsid w:val="00777A13"/>
    <w:rsid w:val="007B0302"/>
    <w:rsid w:val="007B292A"/>
    <w:rsid w:val="007B4722"/>
    <w:rsid w:val="007B7DB9"/>
    <w:rsid w:val="007E4859"/>
    <w:rsid w:val="008041BF"/>
    <w:rsid w:val="00826EB2"/>
    <w:rsid w:val="00835ED3"/>
    <w:rsid w:val="00867AF7"/>
    <w:rsid w:val="008829EE"/>
    <w:rsid w:val="00882FE6"/>
    <w:rsid w:val="008913CE"/>
    <w:rsid w:val="008B6577"/>
    <w:rsid w:val="008F39B6"/>
    <w:rsid w:val="009324DB"/>
    <w:rsid w:val="0096680A"/>
    <w:rsid w:val="00980924"/>
    <w:rsid w:val="00996A7A"/>
    <w:rsid w:val="009A0AA1"/>
    <w:rsid w:val="009A7702"/>
    <w:rsid w:val="009C4CCF"/>
    <w:rsid w:val="009D3AD1"/>
    <w:rsid w:val="00A21DB6"/>
    <w:rsid w:val="00A40EC1"/>
    <w:rsid w:val="00AA0762"/>
    <w:rsid w:val="00AC17E1"/>
    <w:rsid w:val="00B103A6"/>
    <w:rsid w:val="00B4605A"/>
    <w:rsid w:val="00B650EF"/>
    <w:rsid w:val="00BD56DB"/>
    <w:rsid w:val="00BE1A7D"/>
    <w:rsid w:val="00BF3913"/>
    <w:rsid w:val="00C1641A"/>
    <w:rsid w:val="00C33547"/>
    <w:rsid w:val="00C352E9"/>
    <w:rsid w:val="00C80303"/>
    <w:rsid w:val="00CA7844"/>
    <w:rsid w:val="00CD50F3"/>
    <w:rsid w:val="00D15AEF"/>
    <w:rsid w:val="00D255DE"/>
    <w:rsid w:val="00D63EB7"/>
    <w:rsid w:val="00D85D78"/>
    <w:rsid w:val="00DB0190"/>
    <w:rsid w:val="00DB2FE5"/>
    <w:rsid w:val="00DC129A"/>
    <w:rsid w:val="00E07376"/>
    <w:rsid w:val="00E125BA"/>
    <w:rsid w:val="00E157F0"/>
    <w:rsid w:val="00E37A42"/>
    <w:rsid w:val="00E40BC3"/>
    <w:rsid w:val="00E4719A"/>
    <w:rsid w:val="00E678C5"/>
    <w:rsid w:val="00E714FC"/>
    <w:rsid w:val="00E95298"/>
    <w:rsid w:val="00EF3366"/>
    <w:rsid w:val="00F0187B"/>
    <w:rsid w:val="00F42427"/>
    <w:rsid w:val="00F44E18"/>
    <w:rsid w:val="00FA73BE"/>
    <w:rsid w:val="00FB094F"/>
    <w:rsid w:val="00FB4645"/>
    <w:rsid w:val="00FD1818"/>
    <w:rsid w:val="00FF2E19"/>
    <w:rsid w:val="7C39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semiHidden/>
    <w:uiPriority w:val="99"/>
  </w:style>
  <w:style w:type="paragraph" w:customStyle="1" w:styleId="9">
    <w:name w:val="一级条标题"/>
    <w:next w:val="1"/>
    <w:uiPriority w:val="0"/>
    <w:pPr>
      <w:numPr>
        <w:ilvl w:val="1"/>
        <w:numId w:val="1"/>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10">
    <w:name w:val="章标题"/>
    <w:next w:val="1"/>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11">
    <w:name w:val="二级条标题"/>
    <w:basedOn w:val="9"/>
    <w:next w:val="1"/>
    <w:uiPriority w:val="0"/>
    <w:pPr>
      <w:numPr>
        <w:ilvl w:val="2"/>
      </w:numPr>
      <w:spacing w:before="50" w:after="50"/>
      <w:outlineLvl w:val="3"/>
    </w:pPr>
  </w:style>
  <w:style w:type="paragraph" w:customStyle="1" w:styleId="12">
    <w:name w:val="三级条标题"/>
    <w:basedOn w:val="11"/>
    <w:next w:val="1"/>
    <w:uiPriority w:val="0"/>
    <w:pPr>
      <w:numPr>
        <w:ilvl w:val="3"/>
      </w:numPr>
      <w:outlineLvl w:val="4"/>
    </w:pPr>
  </w:style>
  <w:style w:type="paragraph" w:customStyle="1" w:styleId="13">
    <w:name w:val="四级条标题"/>
    <w:basedOn w:val="12"/>
    <w:next w:val="1"/>
    <w:qFormat/>
    <w:uiPriority w:val="0"/>
    <w:pPr>
      <w:numPr>
        <w:ilvl w:val="4"/>
      </w:numPr>
      <w:outlineLvl w:val="5"/>
    </w:pPr>
  </w:style>
  <w:style w:type="paragraph" w:customStyle="1" w:styleId="14">
    <w:name w:val="五级条标题"/>
    <w:basedOn w:val="13"/>
    <w:next w:val="1"/>
    <w:uiPriority w:val="0"/>
    <w:pPr>
      <w:numPr>
        <w:ilvl w:val="5"/>
      </w:numPr>
      <w:outlineLvl w:val="6"/>
    </w:pPr>
  </w:style>
  <w:style w:type="paragraph" w:customStyle="1" w:styleId="15">
    <w:name w:val="二级无"/>
    <w:basedOn w:val="11"/>
    <w:uiPriority w:val="0"/>
    <w:pPr>
      <w:spacing w:before="0" w:beforeLines="0" w:after="0" w:afterLines="0"/>
    </w:pPr>
    <w:rPr>
      <w:rFonts w:ascii="宋体" w:eastAsia="宋体"/>
    </w:rPr>
  </w:style>
  <w:style w:type="character" w:customStyle="1" w:styleId="16">
    <w:name w:val="页眉 字符"/>
    <w:basedOn w:val="7"/>
    <w:link w:val="4"/>
    <w:qFormat/>
    <w:uiPriority w:val="99"/>
    <w:rPr>
      <w:sz w:val="18"/>
      <w:szCs w:val="18"/>
    </w:rPr>
  </w:style>
  <w:style w:type="character" w:customStyle="1" w:styleId="17">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258</Words>
  <Characters>1477</Characters>
  <Lines>12</Lines>
  <Paragraphs>3</Paragraphs>
  <TotalTime>1</TotalTime>
  <ScaleCrop>false</ScaleCrop>
  <LinksUpToDate>false</LinksUpToDate>
  <CharactersWithSpaces>1732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2020-11-12T03:24:00Z</dcterms:created>
  <dc:creator>隋文玲</dc:creator>
  <cp:lastModifiedBy>小甄小甄梦想成真</cp:lastModifiedBy>
  <dcterms:modified xsi:type="dcterms:W3CDTF">2021-11-05T07:42:26Z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41C0FE8CC9CF43929ADC59DC35A4F55C</vt:lpwstr>
  </property>
</Properties>
</file>